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4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附件1</w:t>
      </w:r>
    </w:p>
    <w:p>
      <w:pPr>
        <w:spacing w:line="324" w:lineRule="auto"/>
        <w:rPr>
          <w:rFonts w:ascii="宋体" w:hAnsi="新宋体"/>
          <w:b/>
          <w:sz w:val="24"/>
          <w:szCs w:val="32"/>
        </w:rPr>
      </w:pPr>
    </w:p>
    <w:tbl>
      <w:tblPr>
        <w:tblStyle w:val="2"/>
        <w:tblW w:w="496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67"/>
        <w:gridCol w:w="524"/>
        <w:gridCol w:w="768"/>
        <w:gridCol w:w="543"/>
        <w:gridCol w:w="600"/>
        <w:gridCol w:w="1011"/>
        <w:gridCol w:w="690"/>
        <w:gridCol w:w="655"/>
        <w:gridCol w:w="2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4" w:lineRule="auto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30"/>
                <w:szCs w:val="30"/>
              </w:rPr>
              <w:t>芜湖县总医院公开招聘编外临床专业技术人员岗位信息表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4" w:lineRule="auto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招考计划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 xml:space="preserve">单位类别  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专业及代码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芜湖县总医院</w:t>
            </w:r>
          </w:p>
        </w:tc>
        <w:tc>
          <w:tcPr>
            <w:tcW w:w="57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LC202101</w:t>
            </w:r>
          </w:p>
        </w:tc>
        <w:tc>
          <w:tcPr>
            <w:tcW w:w="28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29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32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临床</w:t>
            </w:r>
          </w:p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2"/>
              </w:rPr>
              <w:t>医学专业</w:t>
            </w:r>
          </w:p>
        </w:tc>
        <w:tc>
          <w:tcPr>
            <w:tcW w:w="54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7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center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4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4" w:lineRule="auto"/>
              <w:jc w:val="left"/>
              <w:rPr>
                <w:rFonts w:cs="Tahom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</w:rPr>
              <w:t>1、具备临床执业医师资格。              2、从事岗位心电2名，超声2名，院前急救2名，放射1名，眼科1名，耳鼻喉科1名。                  3、执业地点、从事岗位服从总院安排。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8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Tahom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24" w:lineRule="auto"/>
        <w:rPr>
          <w:rFonts w:ascii="宋体" w:hAnsi="新宋体"/>
          <w:b/>
          <w:sz w:val="24"/>
          <w:szCs w:val="32"/>
        </w:rPr>
        <w:sectPr>
          <w:pgSz w:w="11906" w:h="16838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D54CF"/>
    <w:rsid w:val="49E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2021-03-01T07:58:00Z</dcterms:created>
  <dc:creator>慕斯</dc:creator>
  <cp:lastModifiedBy>慕斯</cp:lastModifiedBy>
  <dcterms:modified xsi:type="dcterms:W3CDTF">2021-03-01T07:59:25Z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